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Προσομοίωση της δράσης για το κλίμα: «Γη, γεωργία και δασοκομία»</w:t>
      </w:r>
      <w:bookmarkEnd w:id="0"/>
    </w:p>
    <w:p w:rsidR="0079525F" w:rsidRPr="00B46472" w:rsidRDefault="001725EE" w:rsidP="00F80C07">
      <w:pPr>
        <w:pStyle w:val="Bodytext30"/>
        <w:widowControl/>
        <w:pBdr>
          <w:top w:val="single" w:sz="4" w:space="1" w:color="auto"/>
        </w:pBdr>
        <w:shd w:val="clear" w:color="auto" w:fill="auto"/>
        <w:tabs>
          <w:tab w:val="left" w:pos="1429"/>
        </w:tabs>
        <w:spacing w:before="0" w:after="120"/>
        <w:ind w:left="1429" w:hanging="1429"/>
      </w:pPr>
      <w:r>
        <w:t>Προς τους:</w:t>
      </w:r>
      <w:r>
        <w:tab/>
        <w:t xml:space="preserve">Επικεφαλής διαπραγματευτές της Συμμαχίας για τη γη, τη γεωργία και τη </w:t>
      </w:r>
      <w:bookmarkStart w:id="1" w:name="_GoBack"/>
      <w:bookmarkEnd w:id="1"/>
      <w:r>
        <w:t>δασοκομία</w:t>
      </w:r>
    </w:p>
    <w:p w:rsidR="0079525F" w:rsidRPr="00B46472" w:rsidRDefault="001725EE" w:rsidP="00B46472">
      <w:pPr>
        <w:pStyle w:val="Bodytext30"/>
        <w:widowControl/>
        <w:shd w:val="clear" w:color="auto" w:fill="auto"/>
        <w:tabs>
          <w:tab w:val="left" w:pos="1429"/>
        </w:tabs>
        <w:spacing w:before="0" w:after="120"/>
      </w:pPr>
      <w:r>
        <w:t>Θέμα:</w:t>
      </w:r>
      <w:r>
        <w:tab/>
        <w:t>Προπαρασκευή της συνόδου κορυφής με θέμα τη δράση για το κλίμα</w:t>
      </w:r>
    </w:p>
    <w:p w:rsidR="0079525F" w:rsidRPr="00B46472" w:rsidRDefault="001725EE" w:rsidP="00B46472">
      <w:pPr>
        <w:pStyle w:val="Bodytext20"/>
        <w:widowControl/>
        <w:shd w:val="clear" w:color="auto" w:fill="auto"/>
        <w:spacing w:before="0" w:after="120"/>
        <w:ind w:firstLine="0"/>
        <w:jc w:val="both"/>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rStyle w:val="Bodytext21"/>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79525F" w:rsidRPr="00B46472" w:rsidRDefault="001725EE" w:rsidP="00B46472">
      <w:pPr>
        <w:pStyle w:val="Bodytext20"/>
        <w:widowControl/>
        <w:shd w:val="clear" w:color="auto" w:fill="auto"/>
        <w:spacing w:before="0" w:after="120"/>
        <w:ind w:firstLine="0"/>
        <w:jc w:val="both"/>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 Τα </w:t>
      </w:r>
      <w:r>
        <w:rPr>
          <w:rStyle w:val="Bodytext21"/>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79525F" w:rsidRPr="00B46472" w:rsidRDefault="001725EE" w:rsidP="00B46472">
      <w:pPr>
        <w:pStyle w:val="Bodytext20"/>
        <w:widowControl/>
        <w:shd w:val="clear" w:color="auto" w:fill="auto"/>
        <w:spacing w:before="0" w:after="120"/>
        <w:ind w:firstLine="0"/>
        <w:jc w:val="both"/>
      </w:pPr>
      <w:r>
        <w:t>Η ομάδα σας περιλαμβάνει εκπροσώπους των μεγαλύτερων επιχειρήσεων στον τομέα της γεωργίας, των τροφίμων και της υλοτομίας, των μεγαλύτερων ιδιοκτητών γης, διαφόρων υπουργείων διαχείρισης δασών και γεωργίας, καθώς και οργανώσεων διατήρησης του τοπίου. Η ομάδα σας επικεντρώνεται ταυτόχρονα στον τρόπο σίτισης του παγκόσμιου πληθυσμού, προστασίας των δασών και αντιμετώπισης της κλιματικής αλλαγής.</w:t>
      </w:r>
    </w:p>
    <w:p w:rsidR="0079525F" w:rsidRPr="00B46472" w:rsidRDefault="001725EE" w:rsidP="00B46472">
      <w:pPr>
        <w:pStyle w:val="Bodytext20"/>
        <w:widowControl/>
        <w:shd w:val="clear" w:color="auto" w:fill="auto"/>
        <w:spacing w:before="0" w:after="120" w:line="244" w:lineRule="exact"/>
        <w:ind w:firstLine="0"/>
        <w:jc w:val="both"/>
      </w:pPr>
      <w: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Αντιμετωπίστε την αποψίλωση των δασών. </w:t>
      </w:r>
      <w:r>
        <w:t xml:space="preserve">Η αποψίλωση των δασών ευθύνεται επί του παρόντος για το 15% περίπου των εκπομπών αερίων του θερμοκηπίου. Η προστασία τους μπορεί να μειώσει τις εν λόγω εκπομπές, διαφυλάσσοντας παράλληλα τη βιοποικιλότητα και προστατεύοντας τα αποθέματα νερού. Ωστόσο, ο περιορισμός της αποψίλωσης των δασών μειώνει επίσης τη δυνητική χρήση των εν λόγω εκτάσεων για υλοτομία, παραγωγή τροφίμων ή βιοενέργεια, καθώς και για άλλες εξαιρετικά κερδοφόρες χρήσεις. </w:t>
      </w:r>
      <w:r>
        <w:rPr>
          <w:rStyle w:val="Bodytext23"/>
        </w:rPr>
        <w:t xml:space="preserve">Η αποψίλωση των δασών οφείλεται τόσο στους ιδιοκτήτες μικρών γεωργικών εκμεταλλεύσεων και στους πληθυσμούς των αγροτικών περιοχών που χρειάζονται ξυλεία για καύσιμα όσο και στις μεγάλες επιχειρήσεις, οι οποίες εκχερσώνουν δασικές εκτάσεις για υλοτομικές και αγροτοβιομηχανικές δραστηριότητες, συμπεριλαμβανομένης π.χ. της μετατροπής τροπικών δασών σε φυτείες </w:t>
      </w:r>
      <w:proofErr w:type="spellStart"/>
      <w:r>
        <w:rPr>
          <w:rStyle w:val="Bodytext23"/>
        </w:rPr>
        <w:t>φοινικελαίου</w:t>
      </w:r>
      <w:proofErr w:type="spellEnd"/>
      <w:r>
        <w:rPr>
          <w:rStyle w:val="Bodytext23"/>
        </w:rPr>
        <w:t xml:space="preserve"> ή της κτηνοτροφίας και της φυτικής παραγωγής.</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Εξετάστε τη λύση της αναδάσωσης. </w:t>
      </w:r>
      <w:r>
        <w:t xml:space="preserve">Η αναδάσωση συνίσταται στην καλλιέργεια νέων δασών σε εδάφη χωρίς δέντρα· ενίοτε δε αυτά τα εδάφη είχαν κατά το παρελθόν υποβαθμιστεί ή ήταν δασικές εκτάσεις που αποψιλώθηκαν. Καθώς αναπτύσσεται ένα δάσος, παγιδεύει διοξείδιο του άνθρακα από την ατμόσφαιρα και το αποθηκεύει στη βιομάζα και στο έδαφος. Τα δάση </w:t>
      </w:r>
      <w:r>
        <w:lastRenderedPageBreak/>
        <w:t xml:space="preserve">συμβάλλουν στη διατήρηση των </w:t>
      </w:r>
      <w:proofErr w:type="spellStart"/>
      <w:r>
        <w:t>οικοτόπων</w:t>
      </w:r>
      <w:proofErr w:type="spellEnd"/>
      <w:r>
        <w:t xml:space="preserve"> και της βιοποικιλότητας, στον έλεγχο της σταδιακής διάβρωσης και της υποβάθμισης των εδαφών, καθώς και στην προστασία από τις πλημμύρες. Εάν εφαρμοστεί σε μεγάλη κλίμακα, η αναδάσωση ενδέχεται να καλύψει εδάφη που απαιτούνται για καλλιέργεια ή κτηνοτροφία, με συνέπεια να αυξάνονται οι τιμές των τροφίμων λόγω του μεγαλύτερου ανταγωνισμού για τη χρήση γης. Λάβετε υπόψη σας τις εκτάσεις που απαιτούνται για την εκάστοτε πολιτική αναδάσωσης.</w:t>
      </w: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t xml:space="preserve">Συνεκτιμήστε τις εκπομπές μεθανίου, </w:t>
      </w:r>
      <w:proofErr w:type="spellStart"/>
      <w:r>
        <w:rPr>
          <w:b/>
        </w:rPr>
        <w:t>υποξειδίου</w:t>
      </w:r>
      <w:proofErr w:type="spellEnd"/>
      <w:r>
        <w:rPr>
          <w:b/>
        </w:rPr>
        <w:t xml:space="preserve"> του αζώτου και άλλων αερίων του θερμοκηπίου.</w:t>
      </w:r>
    </w:p>
    <w:p w:rsidR="0079525F" w:rsidRPr="00B46472" w:rsidRDefault="001725EE" w:rsidP="00B46472">
      <w:pPr>
        <w:pStyle w:val="Bodytext20"/>
        <w:widowControl/>
        <w:shd w:val="clear" w:color="auto" w:fill="auto"/>
        <w:spacing w:before="0" w:after="120"/>
        <w:ind w:left="400" w:firstLine="0"/>
        <w:jc w:val="both"/>
      </w:pPr>
      <w:r>
        <w:t xml:space="preserve">Το </w:t>
      </w:r>
      <w:r>
        <w:rPr>
          <w:b/>
          <w:bCs/>
        </w:rPr>
        <w:t>διοξείδιο του άνθρακα (CO</w:t>
      </w:r>
      <w:r>
        <w:rPr>
          <w:b/>
          <w:bCs/>
          <w:vertAlign w:val="subscript"/>
        </w:rPr>
        <w:t>2</w:t>
      </w:r>
      <w:r>
        <w:rPr>
          <w:b/>
          <w:bCs/>
        </w:rPr>
        <w:t>)</w:t>
      </w:r>
      <w:r>
        <w:rPr>
          <w:rStyle w:val="Bodytext3NotBold"/>
          <w:bCs w:val="0"/>
        </w:rPr>
        <w:t xml:space="preserve"> </w:t>
      </w:r>
      <w:r>
        <w:rPr>
          <w:rStyle w:val="Bodytext3NotBold"/>
          <w:b w:val="0"/>
          <w:bCs w:val="0"/>
        </w:rPr>
        <w:t>είναι</w:t>
      </w:r>
      <w:r>
        <w:t xml:space="preserve"> το σημαντικότερο αέριο του θερμοκηπίου, αλλά και άλλα αέρια του θερμοκηπίου, ιδίως το μεθάνιο (CH</w:t>
      </w:r>
      <w:r>
        <w:rPr>
          <w:vertAlign w:val="subscript"/>
        </w:rPr>
        <w:t>4</w:t>
      </w:r>
      <w:r>
        <w:t xml:space="preserve">) και το </w:t>
      </w:r>
      <w:proofErr w:type="spellStart"/>
      <w:r>
        <w:t>υποξείδιο</w:t>
      </w:r>
      <w:proofErr w:type="spellEnd"/>
      <w:r>
        <w:t xml:space="preserve"> του αζώτου (N</w:t>
      </w:r>
      <w:r>
        <w:rPr>
          <w:vertAlign w:val="subscript"/>
        </w:rPr>
        <w:t>2</w:t>
      </w:r>
      <w:r>
        <w:t xml:space="preserve">O), προκαλούν το ένα τέταρτο της αύξησης της θερμοκρασίας του πλανήτη σήμερα, ενώ οι συγκεντρώσεις τους στην ατμόσφαιρα αυξάνονται. Σε διάστημα εκατό ετών, ένα μόριο μεθανίου προκαλεί αύξηση της θερμοκρασίας περίπου 25 φορές περισσότερο απ’ ό,τι ένα μόριο διοξειδίου του άνθρακα, ενώ ένα μόριο </w:t>
      </w:r>
      <w:proofErr w:type="spellStart"/>
      <w:r>
        <w:t>υποξειδίου</w:t>
      </w:r>
      <w:proofErr w:type="spellEnd"/>
      <w:r>
        <w:t xml:space="preserve"> του αζώτου προκαλεί αύξηση της θερμοκρασίας σχεδόν 300 φορές περισσότερο απ’ ό,τι ένα μόριο διοξειδίου του άνθρακα. Οι σημερινές γεωργικές και κτηνοτροφικές μέθοδοι είναι σημαντικές πηγές έκλυσης μεθανίου, το δε </w:t>
      </w:r>
      <w:proofErr w:type="spellStart"/>
      <w:r>
        <w:t>υποξείδιο</w:t>
      </w:r>
      <w:proofErr w:type="spellEnd"/>
      <w:r>
        <w:t xml:space="preserve"> του αζώτου παράγεται κατά κύριο λόγο από τη χρήση λιπασμάτων. Οι καινοτόμες τεχνολογίες και μέθοδοι μπορούν να μειώσουν αυτές τις εκπομπές με χαμηλό κόστος, αλλά πολλοί περιβαλλοντολόγοι ζητούν επίσης να θεσπιστούν κανονιστικές ρυθμίσεις (π.χ. περιορισμοί στη χρήση λιπασμάτων) ή να αλλάξει ο τρόπος ζωής των ανθρώπων (π.χ. μείωση της κατανάλωσης κρέατος και της σπατάλης τροφίμων), που θα μπορούσαν να βλάψουν την κερδοφορία των γεωργοκτηνοτροφικών βιομηχανιών. Είστε απρόθυμοι να υποστηρίξετε αυτές τις πολιτικές, ακόμη και αν θα μπορούσαν να οδηγήσουν σε εκτεταμένη μείωση των εν λόγω εκπομπών. Ένα ευρύ φάσμα </w:t>
      </w:r>
      <w:proofErr w:type="spellStart"/>
      <w:r>
        <w:t>φθορανθράκων</w:t>
      </w:r>
      <w:proofErr w:type="spellEnd"/>
      <w:r>
        <w:t xml:space="preserve"> και σχετικών ενώσεων (τα λεγόμενα «</w:t>
      </w:r>
      <w:proofErr w:type="spellStart"/>
      <w:r>
        <w:t>φθοριωμένα</w:t>
      </w:r>
      <w:proofErr w:type="spellEnd"/>
      <w:r>
        <w:t xml:space="preserve"> αέρια») προκαλούν επίσης αύξηση της θερμοκρασίας. Τα </w:t>
      </w:r>
      <w:proofErr w:type="spellStart"/>
      <w:r>
        <w:t>φθοριωμένα</w:t>
      </w:r>
      <w:proofErr w:type="spellEnd"/>
      <w:r>
        <w:t xml:space="preserve"> αέρια χρησιμοποιούνται σε βιομηχανικές διεργασίες και σε ορισμένα καταναλωτικά προϊόντα (π.χ. ψυκτικά μέσα, διαλύτες). Οι συγκεντρώσεις είναι σήμερα χαμηλές, αλλά πολλά </w:t>
      </w:r>
      <w:proofErr w:type="spellStart"/>
      <w:r>
        <w:t>φθοριωμένα</w:t>
      </w:r>
      <w:proofErr w:type="spellEnd"/>
      <w:r>
        <w:t xml:space="preserve"> αέρια προκαλούν χιλιάδες φορές μεγαλύτερη αύξηση της θερμοκρασίας απ’ ό,τι το διοξείδιο του άνθρακα. Μπορείτε να υποστηρίξετε πολιτικές υπέρ της μείωσής τους, δεδομένου ότι αυτές θα έχουν μικρό αντίκτυπο στη δική σας δραστηριότητα.</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Υποστηρίξτε την επιδότηση των ανανεώσιμων πηγών ενέργειας. </w:t>
      </w:r>
      <w:r>
        <w:t xml:space="preserve">Οι εκπομπές των ορυκτών καυσίμων, και όχι η χρήση γης, είναι η σημαντικότερη αιτία της κλιματικής αλλαγής! Υποστηρίζετε την αντικατάσταση των ορυκτών καυσίμων με οικονομικά προσιτή και μη ρυπογόνο ενέργεια για τη λειτουργία του εξοπλισμού σας και τη μεταφορά των τροφίμων. </w:t>
      </w:r>
      <w:r>
        <w:rPr>
          <w:rStyle w:val="Bodytext23"/>
        </w:rPr>
        <w:t xml:space="preserve">Οι κτηνοτρόφοι και οι ιδιοκτήτες γης μπορούν να εγκαθιστούν </w:t>
      </w:r>
      <w:proofErr w:type="spellStart"/>
      <w:r>
        <w:rPr>
          <w:rStyle w:val="Bodytext23"/>
        </w:rPr>
        <w:t>φωτοβολταϊκές</w:t>
      </w:r>
      <w:proofErr w:type="spellEnd"/>
      <w:r>
        <w:rPr>
          <w:rStyle w:val="Bodytext23"/>
        </w:rPr>
        <w:t xml:space="preserve"> συστοιχίες και ανεμογεννήτριες, εξακολουθώντας να χρησιμοποιούν το μεγαλύτερο μέρος των γαιών τους για καλλιέργεια και κτηνοτροφία. Επομένως, υποστηρίζετε τις επιδοτήσεις για τεχνολογίες καθαρής ενέργειας. </w:t>
      </w:r>
      <w:r>
        <w:t xml:space="preserve">Οι μεγάλες εταιρείες υλοτομίας και  </w:t>
      </w:r>
      <w:proofErr w:type="spellStart"/>
      <w:r>
        <w:t>αγροτοβιομηχανίας</w:t>
      </w:r>
      <w:proofErr w:type="spellEnd"/>
      <w:r>
        <w:t xml:space="preserve"> αντιτίθενται σε πολιτικές όπως η τιμολόγηση των ανθρακούχων εκπομπών των ορυκτών καύσιμων διότι έτσι ενδέχεται να αυξηθεί το λειτουργικό κόστος τους. Ωστόσο, οι οργανώσεις διατήρησης του τοπίου υποστηρίζουν αυτές τις πολιτικές για την επιτάχυνση της μείωσης των εκπομπών διοξειδίου του άνθρακα.</w:t>
      </w:r>
    </w:p>
    <w:p w:rsidR="0079525F" w:rsidRPr="00B46472" w:rsidRDefault="001725EE" w:rsidP="00B46472">
      <w:pPr>
        <w:pStyle w:val="Bodytext50"/>
        <w:widowControl/>
        <w:shd w:val="clear" w:color="auto" w:fill="auto"/>
        <w:spacing w:before="0"/>
      </w:pPr>
      <w:r>
        <w:t>Συμπληρωματικές παράμετροι</w:t>
      </w:r>
    </w:p>
    <w:p w:rsidR="0079525F" w:rsidRPr="00B46472" w:rsidRDefault="001725EE" w:rsidP="00B46472">
      <w:pPr>
        <w:pStyle w:val="Bodytext20"/>
        <w:widowControl/>
        <w:shd w:val="clear" w:color="auto" w:fill="auto"/>
        <w:spacing w:before="0" w:after="120"/>
        <w:ind w:firstLine="0"/>
        <w:jc w:val="both"/>
      </w:pPr>
      <w:r>
        <w:t>Ο παγκόσμιος πληθυσμός ανέρχεται σήμερα περίπου σε 7,7 δισεκατομμύρια άτομα και ο ΟΗΕ εκτιμά ότι έως το 2050 θα έχει υπερβεί τα 9 δισεκατομμύρια, ενώ έως το 2100 θα αγγίζει ήδη τα 11 δισεκατομμύρια. Η αύξηση του πληθυσμού της Γης και των εισοδημάτων διογκώνουν τη ζήτηση σε σοδειές, κρέας, ξύλο, ίνες και άλλα προϊόντα εντατικής παραγωγής. Σήμερα, περίπου ένα δισεκατομμύριο άνθρωποι δεν τρέφονται επαρκώς, με συνέπεια την εκδήλωση φαινομένων υποσιτισμού και λιμοκτονίας σε πολλές χώρες. Ωστόσο, σύμφωνα με τον Οργανισμό Τροφίμων και Γεωργίας του ΟΗΕ, το 30% της παγκόσμιας παραγωγής τροφίμων καταλήγει στα σκουπίδια, κάτι που ευθύνεται για το 8% των εκπομπών αερίων του θερμοκηπίου παγκοσμίως.</w:t>
      </w:r>
    </w:p>
    <w:p w:rsidR="0079525F" w:rsidRPr="00B46472" w:rsidRDefault="001725EE" w:rsidP="00B46472">
      <w:pPr>
        <w:pStyle w:val="Bodytext20"/>
        <w:widowControl/>
        <w:shd w:val="clear" w:color="auto" w:fill="auto"/>
        <w:spacing w:before="0" w:after="120"/>
        <w:ind w:firstLine="0"/>
        <w:jc w:val="both"/>
      </w:pPr>
      <w:r>
        <w:lastRenderedPageBreak/>
        <w:t>Η μείωση της σπατάλης τροφίμων, η αύξηση της απόδοσης των καλλιεργειών και η ενθάρρυνση της υγιούς διατροφής με βάση φυτικά προϊόντα μπορούν να ικανοποιήσουν την αυξανόμενη ζήτηση τροφίμων χωρίς να απαιτούνται περισσότερες εκτάσεις, με παράλληλη μείωση των εκπομπών αερίων του θερμοκηπίου στον γεωργοκτηνοτροφικό τομέα. Ωστόσο, ο τομέας σας δεν μπορεί να πράξει περισσότερα προτού οι πολιτικές αυτές προκαλέσουν αύξηση των τιμών των τροφίμων. Το υψηλό κόστος των τροφίμων σημαίνει ότι εκείνοι που τα χρειάζονται περισσότερο ίσως τελικά να τα στερηθούν. Η προαγωγή της διατροφής με βάση φυτικά προϊόντα θα βλάψει επίσης οικονομικά τον εκτεταμένο και αναπτυσσόμενο τομέα της κτηνοτροφίας.</w:t>
      </w:r>
    </w:p>
    <w:p w:rsidR="0079525F" w:rsidRPr="00B46472" w:rsidRDefault="001725EE" w:rsidP="00B46472">
      <w:pPr>
        <w:pStyle w:val="Bodytext20"/>
        <w:widowControl/>
        <w:shd w:val="clear" w:color="auto" w:fill="auto"/>
        <w:spacing w:before="0" w:after="120"/>
        <w:ind w:firstLine="0"/>
        <w:jc w:val="both"/>
      </w:pPr>
      <w:r>
        <w:t xml:space="preserve">Σε πολλά μέρη του κόσμου η αλλαγή της χρήσης της γης και των γεωργικών μεθόδων θα είναι δύσκολη. Σε πολλές αναπτυσσόμενες χώρες, τα δυνητικά οφέλη της κλιματολογικά έξυπνης </w:t>
      </w:r>
      <w:proofErr w:type="spellStart"/>
      <w:r>
        <w:t>γεωργοκτηνοτροφίας</w:t>
      </w:r>
      <w:proofErr w:type="spellEnd"/>
      <w:r>
        <w:t xml:space="preserve"> είναι μεν σημαντικά, αλλά η διαφθορά και η έλλειψη εποπτείας δυσχεραίνουν την εφαρμογή πολιτικών χρήσης της γης. Οι προσπάθειες που καταβλήθηκαν στο παρελθόν για τη μείωση της αποψίλωσης των δασών, κυρίως στη Βραζιλία και στην Ινδονησία, ήταν μόνο εν μέρει επιτυχείς. Η παράνομη αποψίλωση των δασών εξακολουθεί να αποτελεί σοβαρό πρόβλημα. Μάλιστα, ορισμένες κυβερνήσεις επιδοτούν ενεργά την αποψίλωση των δασών για την υποστήριξη της υλοτομίας και της </w:t>
      </w:r>
      <w:proofErr w:type="spellStart"/>
      <w:r>
        <w:t>αγροτοβιομηχανίας</w:t>
      </w:r>
      <w:proofErr w:type="spellEnd"/>
      <w:r>
        <w:t>, καθώς και για την παροχή γαιών στον πληθυσμό.</w:t>
      </w:r>
    </w:p>
    <w:p w:rsidR="0079525F" w:rsidRPr="00D22C77" w:rsidRDefault="001725EE" w:rsidP="00B46472">
      <w:pPr>
        <w:pStyle w:val="Bodytext20"/>
        <w:widowControl/>
        <w:shd w:val="clear" w:color="auto" w:fill="auto"/>
        <w:spacing w:before="0" w:after="120"/>
        <w:ind w:firstLine="0"/>
        <w:jc w:val="both"/>
      </w:pPr>
      <w:r>
        <w:t>Παρά τα προβλήματα αυτά, τα μέλη της ομάδας σας θεωρούν την κλιματική αλλαγή ως μείζονα απειλή. Οι εντεινόμενες πλημμύρες, οι ξηρασίες, τα κύματα καύσωνα, οι δασικές πυρκαγιές και η άνοδος της στάθμης της θάλασσας καταστρέφουν ήδη την αρόσιμη γη, μειώνουν την απόδοση των καλλιεργειών, καταστρέφουν τα δάση και βλάπτουν τα κέρδη. Οι επιπτώσεις της κλιματικής αλλαγής και οι επακόλουθοι γεωπολιτικοί μετασχηματισμοί εγκυμονούν σοβαρούς κινδύνους για τα περιουσιακά στοιχεία, το εργατικό δυναμικό, τις αλυσίδες εφοδιασμού, τους πελάτες και την κερδοφορία. Μολονότι η αλλαγή θα είναι δύσκολη και παρότι ορισμένοι θα ζημιωθούν οικονομικά, η συμμαχία σας μπορεί να συμβάλει στην εξεύρεση λύσης με τη μείωση των εκπομπών του εν λόγω τομέα χάρη στη βελτίωση της διαχείρισης της γης και των γεωργοκτηνοτροφικών μεθόδων.</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Επιμέλεια: </w:t>
    </w:r>
    <w:proofErr w:type="spellStart"/>
    <w:r>
      <w:rPr>
        <w:rFonts w:ascii="Times New Roman" w:hAnsi="Times New Roman"/>
        <w:sz w:val="20"/>
        <w:szCs w:val="20"/>
      </w:rPr>
      <w:t>Climate</w:t>
    </w:r>
    <w:proofErr w:type="spellEnd"/>
    <w:r>
      <w:rPr>
        <w:rFonts w:ascii="Times New Roman" w:hAnsi="Times New Roman"/>
        <w:sz w:val="20"/>
        <w:szCs w:val="20"/>
      </w:rPr>
      <w:t xml:space="preserve"> Interactive, MIT </w:t>
    </w:r>
    <w:proofErr w:type="spellStart"/>
    <w:r>
      <w:rPr>
        <w:rFonts w:ascii="Times New Roman" w:hAnsi="Times New Roman"/>
        <w:sz w:val="20"/>
        <w:szCs w:val="20"/>
      </w:rPr>
      <w:t>Sloan</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of </w:t>
    </w:r>
    <w:proofErr w:type="spellStart"/>
    <w:r>
      <w:rPr>
        <w:rFonts w:ascii="Times New Roman" w:hAnsi="Times New Roman"/>
        <w:sz w:val="20"/>
        <w:szCs w:val="20"/>
      </w:rPr>
      <w:t>Management</w:t>
    </w:r>
    <w:proofErr w:type="spellEnd"/>
    <w:r>
      <w:rPr>
        <w:rFonts w:ascii="Times New Roman" w:hAnsi="Times New Roman"/>
        <w:sz w:val="20"/>
        <w:szCs w:val="20"/>
      </w:rPr>
      <w:t xml:space="preserve">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w:t>
    </w:r>
    <w:proofErr w:type="spellStart"/>
    <w:r>
      <w:rPr>
        <w:rFonts w:ascii="Times New Roman" w:hAnsi="Times New Roman"/>
        <w:sz w:val="20"/>
        <w:szCs w:val="20"/>
      </w:rPr>
      <w:t>School</w:t>
    </w:r>
    <w:proofErr w:type="spellEnd"/>
    <w:r>
      <w:rPr>
        <w:rFonts w:ascii="Times New Roman" w:hAnsi="Times New Roman"/>
        <w:sz w:val="20"/>
        <w:szCs w:val="20"/>
      </w:rPr>
      <w:t xml:space="preserve"> και </w:t>
    </w:r>
    <w:proofErr w:type="spellStart"/>
    <w:r>
      <w:rPr>
        <w:rFonts w:ascii="Times New Roman" w:hAnsi="Times New Roman"/>
        <w:sz w:val="20"/>
        <w:szCs w:val="20"/>
      </w:rPr>
      <w:t>UMass</w:t>
    </w:r>
    <w:proofErr w:type="spellEnd"/>
    <w:r>
      <w:rPr>
        <w:rFonts w:ascii="Times New Roman" w:hAnsi="Times New Roman"/>
        <w:sz w:val="20"/>
        <w:szCs w:val="20"/>
      </w:rPr>
      <w:t xml:space="preserve"> </w:t>
    </w:r>
    <w:proofErr w:type="spellStart"/>
    <w:r>
      <w:rPr>
        <w:rFonts w:ascii="Times New Roman" w:hAnsi="Times New Roman"/>
        <w:sz w:val="20"/>
        <w:szCs w:val="20"/>
      </w:rPr>
      <w:t>Lowell</w:t>
    </w:r>
    <w:proofErr w:type="spellEnd"/>
    <w:r>
      <w:rPr>
        <w:rFonts w:ascii="Times New Roman" w:hAnsi="Times New Roman"/>
        <w:sz w:val="20"/>
        <w:szCs w:val="20"/>
      </w:rPr>
      <w:t xml:space="preserve">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Change</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τελευταία επικαιροποίηση: Σεπτέμβριος του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71241"/>
    <w:rsid w:val="0079525F"/>
    <w:rsid w:val="009A4FF5"/>
    <w:rsid w:val="00B46472"/>
    <w:rsid w:val="00BB74AE"/>
    <w:rsid w:val="00C32574"/>
    <w:rsid w:val="00D22C77"/>
    <w:rsid w:val="00F80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FEE8B6D-8FAE-43E7-9DA1-0EEC5E30BB7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l-G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l-G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CTJJHAUHWN5E-644613129-2760</_dlc_DocId>
    <_dlc_DocIdUrl xmlns="bfc960a6-20da-4c94-8684-71380fca093b">
      <Url>http://dm2016/eesc/2019/_layouts/15/DocIdRedir.aspx?ID=CTJJHAUHWN5E-644613129-2760</Url>
      <Description>CTJJHAUHWN5E-644613129-2760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7</Value>
      <Value>64</Value>
      <Value>63</Value>
      <Value>62</Value>
      <Value>246</Value>
      <Value>21</Value>
      <Value>56</Value>
      <Value>55</Value>
      <Value>17</Value>
      <Value>162</Value>
      <Value>49</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03EDCE4-6DA9-438F-BB31-650CC9D7C053}"/>
</file>

<file path=customXml/itemProps2.xml><?xml version="1.0" encoding="utf-8"?>
<ds:datastoreItem xmlns:ds="http://schemas.openxmlformats.org/officeDocument/2006/customXml" ds:itemID="{48BB9C42-4607-414E-A12D-76B563F19E32}"/>
</file>

<file path=customXml/itemProps3.xml><?xml version="1.0" encoding="utf-8"?>
<ds:datastoreItem xmlns:ds="http://schemas.openxmlformats.org/officeDocument/2006/customXml" ds:itemID="{82873939-4A7E-471A-A727-6D0577E3639C}"/>
</file>

<file path=customXml/itemProps4.xml><?xml version="1.0" encoding="utf-8"?>
<ds:datastoreItem xmlns:ds="http://schemas.openxmlformats.org/officeDocument/2006/customXml" ds:itemID="{96AACEED-9BF0-42B1-9926-934C331B0F05}"/>
</file>

<file path=docProps/app.xml><?xml version="1.0" encoding="utf-8"?>
<Properties xmlns="http://schemas.openxmlformats.org/officeDocument/2006/extended-properties" xmlns:vt="http://schemas.openxmlformats.org/officeDocument/2006/docPropsVTypes">
  <Template>Styles</Template>
  <TotalTime>2</TotalTime>
  <Pages>3</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4 - Προσομοίωση της δράσης για το κλίμα: Γη, γεωργία και δασοκομία</dc:title>
  <dc:subject>Ενημερωτικό έγγραφο</dc:subject>
  <cp:keywords>EESC-2019-05163-03-00-INFO-TRA-EN</cp:keywords>
  <dc:description>Rapporteur:  - Original language: EN - Date of document: 09/12/2019 - Date of meeting:  - External documents:  - Administrator: MME LAHOUSSE Chloé</dc:description>
  <cp:lastModifiedBy>Zoitsa Vassilaki</cp:lastModifiedBy>
  <cp:revision>5</cp:revision>
  <dcterms:created xsi:type="dcterms:W3CDTF">2019-11-15T09:11:00Z</dcterms:created>
  <dcterms:modified xsi:type="dcterms:W3CDTF">2019-12-09T15:06:00Z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ff8ab7b9-3c8d-422c-b461-a17d9526d24c</vt:lpwstr>
  </property>
  <property fmtid="{D5CDD505-2E9C-101B-9397-08002B2CF9AE}" pid="9" name="AvailableTranslations">
    <vt:lpwstr>152;#MK|34ce48bb-063e-4413-a932-50853dc71c5c;#153;#SR|7f3a1d13-b985-4bfd-981e-afe31377edff;#62;#FI|87606a43-d45f-42d6-b8c9-e1a3457db5b7;#21;#IT|0774613c-01ed-4e5d-a25d-11d2388de825;#55;#BG|1a1b3951-7821-4e6a-85f5-5673fc08bd2c;#56;#SL|98a412ae-eb01-49e9-ae3d-585a81724cfc;#63;#MT|7df99101-6854-4a26-b53a-b88c0da02c26;#64;#PT|50ccc04a-eadd-42ae-a0cb-acaf45f812ba;#49;#EL|6d4f4d51-af9b-4650-94b4-4276bee85c91;#162;#TR|6e4ededd-04c4-4fa0-94e0-1028050302d5;#4;#EN|f2175f21-25d7-44a3-96da-d6a61b075e1b;#17;#ES|e7a6b05b-ae16-40c8-add9-68b64b03aeba;#246;#ME|925b3da5-5ac0-4b3c-928c-6ef66a5c9b3c;#45;#NL|55c6556c-b4f4-441d-9acf-c498d4f838bd;#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IT|0774613c-01ed-4e5d-a25d-11d2388de825;BG|1a1b3951-7821-4e6a-85f5-5673fc08bd2c;SL|98a412ae-eb01-49e9-ae3d-585a81724cfc;MT|7df99101-6854-4a26-b53a-b88c0da02c26;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7;#Final|ea5e6674-7b27-4bac-b091-73adbb394efe;#63;#MT|7df99101-6854-4a26-b53a-b88c0da02c26;#246;#ME|925b3da5-5ac0-4b3c-928c-6ef66a5c9b3c;#21;#IT|0774613c-01ed-4e5d-a25d-11d2388de825;#56;#SL|98a412ae-eb01-49e9-ae3d-585a81724cfc;#55;#BG|1a1b3951-7821-4e6a-85f5-5673fc08bd2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49;#EL|6d4f4d51-af9b-4650-94b4-4276bee85c91</vt:lpwstr>
  </property>
</Properties>
</file>